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bCs/>
        </w:rPr>
      </w:pPr>
    </w:p>
    <w:p>
      <w:pPr>
        <w:tabs>
          <w:tab w:val="left" w:pos="270"/>
        </w:tabs>
        <w:jc w:val="both"/>
        <w:rPr>
          <w:b/>
          <w:bCs/>
          <w:lang w:val="hu-HU"/>
        </w:rPr>
      </w:pPr>
      <w:r>
        <w:rPr>
          <w:b/>
          <w:lang w:val="ro-RO"/>
        </w:rPr>
        <w:t>Ș</w:t>
      </w:r>
      <w:r>
        <w:rPr>
          <w:b/>
        </w:rPr>
        <w:t xml:space="preserve">tefan Dezsi </w:t>
      </w:r>
      <w:r>
        <w:t>is Professor at the Babe</w:t>
      </w:r>
      <w:r>
        <w:rPr>
          <w:lang w:val="ro-RO"/>
        </w:rPr>
        <w:t>ș-Bolyai University (BBU) from Cluj-Napoca (Romania)</w:t>
      </w:r>
      <w:r>
        <w:t xml:space="preserve">, </w:t>
      </w:r>
      <w:r>
        <w:rPr>
          <w:lang w:val="ro-RO"/>
        </w:rPr>
        <w:t xml:space="preserve">Faculty of Geography, </w:t>
      </w:r>
      <w:r>
        <w:t xml:space="preserve">Department of Human Geography and Tourism. </w:t>
      </w:r>
    </w:p>
    <w:p>
      <w:pPr>
        <w:tabs>
          <w:tab w:val="left" w:pos="270"/>
        </w:tabs>
        <w:jc w:val="both"/>
        <w:rPr>
          <w:bCs/>
        </w:rPr>
      </w:pPr>
    </w:p>
    <w:p>
      <w:pPr>
        <w:pStyle w:val="BodyTextIndent2"/>
        <w:tabs>
          <w:tab w:val="left" w:pos="270"/>
        </w:tabs>
        <w:ind w:left="0"/>
        <w:rPr>
          <w:bCs/>
          <w:szCs w:val="24"/>
        </w:rPr>
      </w:pPr>
      <w:r>
        <w:rPr>
          <w:b/>
          <w:szCs w:val="24"/>
        </w:rPr>
        <w:t>Area of competence</w:t>
      </w:r>
      <w:r>
        <w:rPr>
          <w:bCs/>
          <w:szCs w:val="24"/>
        </w:rPr>
        <w:t>:</w:t>
      </w:r>
      <w:r>
        <w:t xml:space="preserve"> </w:t>
      </w:r>
      <w:r>
        <w:rPr>
          <w:bCs/>
          <w:szCs w:val="24"/>
        </w:rPr>
        <w:t>tourism geography, prospecting, planning and tourist planning</w:t>
      </w:r>
    </w:p>
    <w:p>
      <w:pPr>
        <w:tabs>
          <w:tab w:val="left" w:pos="270"/>
        </w:tabs>
        <w:jc w:val="both"/>
        <w:rPr>
          <w:bCs/>
        </w:rPr>
      </w:pP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interests:  </w:t>
      </w:r>
    </w:p>
    <w:p>
      <w:pPr>
        <w:tabs>
          <w:tab w:val="left" w:pos="270"/>
        </w:tabs>
        <w:jc w:val="both"/>
        <w:rPr>
          <w:bCs/>
        </w:rPr>
      </w:pPr>
    </w:p>
    <w:p>
      <w:pPr>
        <w:tabs>
          <w:tab w:val="left" w:pos="270"/>
        </w:tabs>
        <w:jc w:val="both"/>
        <w:rPr>
          <w:bCs/>
        </w:rPr>
      </w:pPr>
    </w:p>
    <w:p>
      <w:pPr>
        <w:pStyle w:val="HTMLPreformatted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Prospecting, planning and tourist arrangement</w:t>
      </w: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significant publications include: Cele mai semnficiative lucrări: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Cocean, P., Dezsi, Şt. (2009), </w:t>
      </w:r>
      <w:r>
        <w:rPr>
          <w:rFonts w:ascii="Times New Roman" w:hAnsi="Times New Roman" w:cs="Times New Roman"/>
          <w:i/>
          <w:sz w:val="24"/>
          <w:szCs w:val="24"/>
          <w:lang w:val="eu-ES"/>
        </w:rPr>
        <w:t xml:space="preserve">Geografia </w:t>
      </w:r>
      <w:r>
        <w:rPr>
          <w:rFonts w:ascii="Times New Roman" w:hAnsi="Times New Roman" w:cs="Times New Roman"/>
          <w:i/>
          <w:sz w:val="24"/>
          <w:szCs w:val="24"/>
        </w:rPr>
        <w:t>turismului</w:t>
      </w:r>
      <w:r>
        <w:rPr>
          <w:rFonts w:ascii="Times New Roman" w:hAnsi="Times New Roman" w:cs="Times New Roman"/>
          <w:i/>
          <w:sz w:val="24"/>
          <w:szCs w:val="24"/>
          <w:lang w:val="eu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Edit. Presa Universitară Clujeană, Cluj-Napoca; Cocean, P., Dezsi, Şt. (2001), </w:t>
      </w:r>
      <w:r>
        <w:rPr>
          <w:rFonts w:ascii="Times New Roman" w:hAnsi="Times New Roman" w:cs="Times New Roman"/>
          <w:i/>
          <w:sz w:val="24"/>
          <w:szCs w:val="24"/>
          <w:lang w:val="eu-ES"/>
        </w:rPr>
        <w:t>Prospectare şi geoinformare turistică,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Edit. Presa Universitară Clujeană, Cluj-Napoca; Ciang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, N., Dezsi, Şt. (2007), </w:t>
      </w:r>
      <w:r>
        <w:rPr>
          <w:rFonts w:ascii="Times New Roman" w:hAnsi="Times New Roman" w:cs="Times New Roman"/>
          <w:i/>
          <w:sz w:val="24"/>
          <w:szCs w:val="24"/>
          <w:lang w:val="eu-ES"/>
        </w:rPr>
        <w:t xml:space="preserve">Amenajare turistică,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Edit. Presa Universitară Clujeană, Cluj-Napoca; Dezsi, Şt. (2006), </w:t>
      </w:r>
      <w:r>
        <w:rPr>
          <w:rFonts w:ascii="Times New Roman" w:hAnsi="Times New Roman" w:cs="Times New Roman"/>
          <w:i/>
          <w:sz w:val="24"/>
          <w:szCs w:val="24"/>
          <w:lang w:val="hu-HU" w:eastAsia="hu-HU"/>
        </w:rPr>
        <w:t>Patrimoniu şi valorificare turistică</w:t>
      </w: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Edit. Presa Universitară Clujeană, Cluj-Napoca;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Dezsi, Șt., Nistor, M.M., Man, T.C., Rusu, R. (2015),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GIS assessment of a winter sports resort location. Case study: Beliș district, Western Carpathians,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Carpathian Journal of Earth and Environmental Sciences,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IF: 0,730 (2015); AIS: 0,120 (2015); </w:t>
      </w:r>
      <w:r>
        <w:rPr>
          <w:rFonts w:ascii="Times New Roman" w:hAnsi="Times New Roman" w:cs="Times New Roman"/>
          <w:sz w:val="24"/>
          <w:szCs w:val="24"/>
        </w:rPr>
        <w:t xml:space="preserve">February 2015, Vol. 10, No. 1, p. 223 - 230; </w:t>
      </w:r>
      <w:hyperlink r:id="rId7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https://www.researchgate.net/publication/281993267_The_GIS_assessment_of_a_winter_sports_resort_location_Case_study_Beliscomma_below_District_Western_Carpathians</w:t>
        </w:r>
      </w:hyperlink>
    </w:p>
    <w:p>
      <w:pPr>
        <w:pStyle w:val="ListParagraph"/>
        <w:tabs>
          <w:tab w:val="num" w:pos="-851"/>
          <w:tab w:val="num" w:pos="-709"/>
          <w:tab w:val="num" w:pos="-284"/>
          <w:tab w:val="left" w:pos="270"/>
          <w:tab w:val="left" w:pos="360"/>
          <w:tab w:val="left" w:pos="540"/>
        </w:tabs>
        <w:ind w:left="0"/>
        <w:jc w:val="both"/>
      </w:pPr>
      <w:r>
        <w:t xml:space="preserve">Nistor, M.M., Nicula, Al.S., Dezsi, </w:t>
      </w:r>
      <w:r>
        <w:rPr>
          <w:lang w:val="ro-RO"/>
        </w:rPr>
        <w:t>Ș</w:t>
      </w:r>
      <w:r>
        <w:t xml:space="preserve">t., Petrea, D., Kamarajugedda, S.A., Carebia, I.A.  (2020), </w:t>
      </w:r>
      <w:r>
        <w:rPr>
          <w:i/>
        </w:rPr>
        <w:t>GIS-Based Kernel Analysis for Tourism Flow Mapping</w:t>
      </w:r>
      <w:r>
        <w:t xml:space="preserve">, Journal of Settlements and Spatial Planning, vol. 11, no. 2 (2020) 137-145, </w:t>
      </w:r>
      <w:hyperlink r:id="rId8" w:history="1">
        <w:r>
          <w:rPr>
            <w:rStyle w:val="Hyperlink"/>
            <w:color w:val="auto"/>
            <w:u w:val="none"/>
          </w:rPr>
          <w:t>https://doi.org/10.24193/JSSP.2020.2.07</w:t>
        </w:r>
      </w:hyperlink>
      <w:r>
        <w:rPr>
          <w:rStyle w:val="Hyperlink"/>
        </w:rPr>
        <w:t>.</w:t>
      </w:r>
      <w:r>
        <w:rPr>
          <w:rStyle w:val="Hyperlink"/>
          <w:color w:val="auto"/>
          <w:u w:val="none"/>
        </w:rPr>
        <w:t xml:space="preserve"> </w:t>
      </w:r>
    </w:p>
    <w:p>
      <w:pPr>
        <w:tabs>
          <w:tab w:val="left" w:pos="270"/>
        </w:tabs>
        <w:jc w:val="both"/>
        <w:rPr>
          <w:bCs/>
        </w:rPr>
      </w:pPr>
    </w:p>
    <w:p>
      <w:pPr>
        <w:pStyle w:val="HTMLPreformatted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 of tourism planning and regional tourism development</w:t>
      </w:r>
    </w:p>
    <w:p>
      <w:pPr>
        <w:pStyle w:val="Default"/>
        <w:tabs>
          <w:tab w:val="left" w:pos="270"/>
        </w:tabs>
        <w:jc w:val="both"/>
        <w:rPr>
          <w:color w:val="auto"/>
        </w:rPr>
      </w:pPr>
    </w:p>
    <w:p>
      <w:pPr>
        <w:pStyle w:val="Default"/>
        <w:tabs>
          <w:tab w:val="left" w:pos="270"/>
        </w:tabs>
        <w:jc w:val="both"/>
        <w:rPr>
          <w:color w:val="auto"/>
          <w:lang w:val="eu-ES"/>
        </w:rPr>
      </w:pPr>
      <w:r>
        <w:t>The most significant publications include:</w:t>
      </w:r>
      <w:r>
        <w:rPr>
          <w:color w:val="auto"/>
        </w:rPr>
        <w:t xml:space="preserve"> Dezsi, </w:t>
      </w:r>
      <w:r>
        <w:rPr>
          <w:color w:val="auto"/>
          <w:lang w:val="ro-RO"/>
        </w:rPr>
        <w:t xml:space="preserve">Șt. &amp; et al (2020), </w:t>
      </w:r>
      <w:r>
        <w:rPr>
          <w:i/>
          <w:color w:val="auto"/>
        </w:rPr>
        <w:t>Planul de amenajare a teritoriului județului Cluj / Cluj County Spatial Plan, Studiu de fundamentare privind resursele naturale şi economia/ Substantiation study on natural resources and economy</w:t>
      </w:r>
      <w:r>
        <w:rPr>
          <w:color w:val="auto"/>
        </w:rPr>
        <w:t xml:space="preserve">, în Planul de Amenajare a Teritoriului Județului Cluj/ Cluj County Spatial Plan, The World Bank, Washington D.C., USA; </w:t>
      </w:r>
      <w:r>
        <w:rPr>
          <w:color w:val="auto"/>
          <w:lang w:val="eu-ES"/>
        </w:rPr>
        <w:t xml:space="preserve">Dezsi, Şt. (2012), </w:t>
      </w:r>
      <w:r>
        <w:rPr>
          <w:i/>
          <w:iCs/>
          <w:color w:val="auto"/>
        </w:rPr>
        <w:t>Development Strategy of the Someş Catchment Area (Strategia de dezvoltare a bazinului hidrografic Someş)</w:t>
      </w:r>
      <w:r>
        <w:rPr>
          <w:color w:val="auto"/>
        </w:rPr>
        <w:t>, Cocean P., Göncz Annamária (coord.),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(2012), Editura Risoprint, Cluj-Napoca; </w:t>
      </w:r>
      <w:r>
        <w:rPr>
          <w:color w:val="auto"/>
          <w:lang w:val="eu-ES"/>
        </w:rPr>
        <w:t xml:space="preserve">Dezsi, Şt. (2004), </w:t>
      </w:r>
      <w:r>
        <w:rPr>
          <w:i/>
          <w:color w:val="auto"/>
          <w:spacing w:val="-4"/>
          <w:lang w:val="eu-ES"/>
        </w:rPr>
        <w:t>Planul de amenajare a teritoriului Regiunii de Nord-Vest (PATR) – coordonate majore</w:t>
      </w:r>
      <w:r>
        <w:rPr>
          <w:color w:val="auto"/>
          <w:spacing w:val="-4"/>
          <w:lang w:val="eu-ES"/>
        </w:rPr>
        <w:t xml:space="preserve"> (2004), (coord. P. Cocean)</w:t>
      </w:r>
      <w:r>
        <w:rPr>
          <w:i/>
          <w:color w:val="auto"/>
          <w:spacing w:val="-4"/>
          <w:lang w:val="eu-ES"/>
        </w:rPr>
        <w:t xml:space="preserve">, </w:t>
      </w:r>
      <w:r>
        <w:rPr>
          <w:color w:val="auto"/>
          <w:spacing w:val="-4"/>
          <w:lang w:val="eu-ES"/>
        </w:rPr>
        <w:t>Edit. Presa Universitară Clujeană, Cluj-Napoca</w:t>
      </w:r>
      <w:r>
        <w:rPr>
          <w:color w:val="auto"/>
          <w:spacing w:val="-4"/>
        </w:rPr>
        <w:t xml:space="preserve">, ISBN 973-610-284-X: cap. </w:t>
      </w:r>
      <w:r>
        <w:rPr>
          <w:i/>
          <w:color w:val="auto"/>
          <w:spacing w:val="-4"/>
          <w:lang w:val="eu-ES"/>
        </w:rPr>
        <w:t xml:space="preserve">Dezvoltarea economică durabilă,  I. Turismul, </w:t>
      </w:r>
      <w:r>
        <w:rPr>
          <w:color w:val="auto"/>
          <w:spacing w:val="-4"/>
          <w:lang w:val="eu-ES"/>
        </w:rPr>
        <w:t xml:space="preserve">pag. 120-139; </w:t>
      </w:r>
      <w:r>
        <w:rPr>
          <w:color w:val="auto"/>
          <w:lang w:val="eu-ES"/>
        </w:rPr>
        <w:t xml:space="preserve">Benedek, J., Dezsi, Şt. (2006), </w:t>
      </w:r>
      <w:r>
        <w:rPr>
          <w:i/>
          <w:color w:val="auto"/>
          <w:lang w:val="eu-ES"/>
        </w:rPr>
        <w:t xml:space="preserve">Analiza socio-teritorială a turismului rural din România din perspectiva dezvoltării regionale şi locale, </w:t>
      </w:r>
      <w:r>
        <w:rPr>
          <w:color w:val="auto"/>
          <w:lang w:val="eu-ES"/>
        </w:rPr>
        <w:t xml:space="preserve">Edit. Presa Universitară Clujeană, Cluj-Napoca; </w:t>
      </w:r>
      <w:r>
        <w:rPr>
          <w:color w:val="auto"/>
          <w:spacing w:val="-4"/>
          <w:lang w:val="eu-ES"/>
        </w:rPr>
        <w:t xml:space="preserve">Benedek, J., Dezsi, </w:t>
      </w:r>
      <w:r>
        <w:rPr>
          <w:color w:val="auto"/>
          <w:spacing w:val="-4"/>
        </w:rPr>
        <w:t xml:space="preserve">Şt. (2003), </w:t>
      </w:r>
      <w:r>
        <w:rPr>
          <w:i/>
          <w:color w:val="auto"/>
          <w:spacing w:val="-4"/>
        </w:rPr>
        <w:t>Basic Features of the Rural Tourism in Romania,</w:t>
      </w:r>
      <w:r>
        <w:rPr>
          <w:color w:val="auto"/>
          <w:spacing w:val="-4"/>
        </w:rPr>
        <w:t xml:space="preserve"> </w:t>
      </w:r>
      <w:r>
        <w:rPr>
          <w:color w:val="auto"/>
          <w:spacing w:val="-4"/>
          <w:lang w:val="eu-ES"/>
        </w:rPr>
        <w:t xml:space="preserve">in Wuerzburger Geographische Manuskripte, Heft 63, pp. 63-76, Wuerzburg, Germany; </w:t>
      </w:r>
      <w:r>
        <w:rPr>
          <w:color w:val="auto"/>
          <w:spacing w:val="-8"/>
          <w:lang w:val="eu-ES"/>
        </w:rPr>
        <w:t xml:space="preserve">Benedek, J.,  Dezsi, Şt. (2006), </w:t>
      </w:r>
      <w:r>
        <w:rPr>
          <w:i/>
          <w:color w:val="auto"/>
          <w:spacing w:val="-8"/>
          <w:lang w:val="eu-ES"/>
        </w:rPr>
        <w:t>Rural Tourism in Romania. The Characteristics of the Tourist Offer</w:t>
      </w:r>
      <w:r>
        <w:rPr>
          <w:i/>
          <w:color w:val="auto"/>
          <w:spacing w:val="-8"/>
        </w:rPr>
        <w:t>,</w:t>
      </w:r>
      <w:r>
        <w:rPr>
          <w:color w:val="auto"/>
          <w:spacing w:val="-8"/>
        </w:rPr>
        <w:t xml:space="preserve"> în Rural Tourism and Sustainable Development, edit. Rodica Petrea, pp. 55-70, Edit. Universităţii din Oradea; </w:t>
      </w:r>
      <w:r>
        <w:rPr>
          <w:color w:val="auto"/>
          <w:shd w:val="clear" w:color="auto" w:fill="FFFFFF"/>
        </w:rPr>
        <w:t xml:space="preserve">Egresi, I., Prakash, S.L., Maduraperruma, B., Withanage, A., Weerasingha, A., Dezsi, Ş., Răcăşan, B.S. (2021), </w:t>
      </w:r>
      <w:r>
        <w:rPr>
          <w:i/>
          <w:color w:val="auto"/>
          <w:shd w:val="clear" w:color="auto" w:fill="FFFFFF"/>
        </w:rPr>
        <w:t xml:space="preserve">What Affects Support for Wetland Tourism? A Case Study from Sri </w:t>
      </w:r>
      <w:r>
        <w:rPr>
          <w:i/>
          <w:color w:val="auto"/>
          <w:shd w:val="clear" w:color="auto" w:fill="FFFFFF"/>
        </w:rPr>
        <w:lastRenderedPageBreak/>
        <w:t>Lanka. </w:t>
      </w:r>
      <w:r>
        <w:rPr>
          <w:rStyle w:val="Emphasis"/>
          <w:i w:val="0"/>
          <w:color w:val="auto"/>
          <w:shd w:val="clear" w:color="auto" w:fill="FFFFFF"/>
        </w:rPr>
        <w:t>Sustainability,</w:t>
      </w:r>
      <w:r>
        <w:rPr>
          <w:color w:val="auto"/>
          <w:shd w:val="clear" w:color="auto" w:fill="FFFFFF"/>
        </w:rPr>
        <w:t> </w:t>
      </w:r>
      <w:r>
        <w:rPr>
          <w:bCs/>
          <w:color w:val="auto"/>
          <w:shd w:val="clear" w:color="auto" w:fill="FFFFFF"/>
        </w:rPr>
        <w:t>2021</w:t>
      </w:r>
      <w:r>
        <w:rPr>
          <w:color w:val="auto"/>
          <w:shd w:val="clear" w:color="auto" w:fill="FFFFFF"/>
        </w:rPr>
        <w:t>, </w:t>
      </w:r>
      <w:r>
        <w:rPr>
          <w:rStyle w:val="Emphasis"/>
          <w:color w:val="auto"/>
          <w:shd w:val="clear" w:color="auto" w:fill="FFFFFF"/>
        </w:rPr>
        <w:t>13</w:t>
      </w:r>
      <w:r>
        <w:rPr>
          <w:color w:val="auto"/>
          <w:shd w:val="clear" w:color="auto" w:fill="FFFFFF"/>
        </w:rPr>
        <w:t>, 8802</w:t>
      </w:r>
      <w:r>
        <w:rPr>
          <w:color w:val="auto"/>
          <w:lang w:eastAsia="en-GB"/>
        </w:rPr>
        <w:t xml:space="preserve">; </w:t>
      </w:r>
      <w:hyperlink r:id="rId9" w:history="1">
        <w:r>
          <w:rPr>
            <w:rStyle w:val="Hyperlink"/>
            <w:color w:val="auto"/>
            <w:u w:val="none"/>
            <w:shd w:val="clear" w:color="auto" w:fill="FFFFFF"/>
          </w:rPr>
          <w:t>https://doi.org/10.3390/su13168802</w:t>
        </w:r>
      </w:hyperlink>
      <w:r>
        <w:rPr>
          <w:color w:val="auto"/>
          <w:shd w:val="clear" w:color="auto" w:fill="FFFFFF"/>
        </w:rPr>
        <w:t xml:space="preserve">; </w:t>
      </w:r>
      <w:r>
        <w:rPr>
          <w:i/>
          <w:color w:val="auto"/>
          <w:spacing w:val="-4"/>
          <w:lang w:val="eu-ES"/>
        </w:rPr>
        <w:t xml:space="preserve">Modele ale specificităţii regionale, suport pentru strategiile de valorificare turistică a satelor tradiţionale </w:t>
      </w:r>
      <w:r>
        <w:rPr>
          <w:color w:val="auto"/>
          <w:spacing w:val="-4"/>
          <w:lang w:val="eu-ES"/>
        </w:rPr>
        <w:t xml:space="preserve">(2010), coord. Ilieş Gabriela, </w:t>
      </w:r>
      <w:r>
        <w:rPr>
          <w:color w:val="auto"/>
          <w:lang w:val="eu-ES"/>
        </w:rPr>
        <w:t>Edit. Presa Universitar</w:t>
      </w:r>
      <w:r>
        <w:rPr>
          <w:color w:val="auto"/>
        </w:rPr>
        <w:t xml:space="preserve">ă Clujeană, Cluj-Napoca.  </w:t>
      </w:r>
    </w:p>
    <w:p>
      <w:pPr>
        <w:tabs>
          <w:tab w:val="left" w:pos="270"/>
        </w:tabs>
        <w:jc w:val="both"/>
        <w:rPr>
          <w:bCs/>
        </w:rPr>
      </w:pPr>
    </w:p>
    <w:p>
      <w:pPr>
        <w:pStyle w:val="HTMLPreformatted"/>
        <w:numPr>
          <w:ilvl w:val="0"/>
          <w:numId w:val="9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Changes in the Romanian tourism after 1989</w:t>
      </w: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tabs>
          <w:tab w:val="left" w:pos="270"/>
        </w:tabs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hyperlink r:id="rId10" w:tooltip="István O. Egresi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Egresi, I.O.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1" w:tooltip="Bianca Sorina Răcăşan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Răcăşan, B.S.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2" w:tooltip="Stefan Dezsi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Dezsi, Șt.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3" w:tooltip="Marin Ilieş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Ilieş, M.</w:t>
        </w:r>
      </w:hyperlink>
      <w:r>
        <w:rPr>
          <w:rFonts w:ascii="Times New Roman" w:hAnsi="Times New Roman" w:cs="Times New Roman"/>
          <w:sz w:val="24"/>
          <w:szCs w:val="24"/>
        </w:rPr>
        <w:t> and </w:t>
      </w:r>
      <w:hyperlink r:id="rId14" w:tooltip="Gabriela Ilieş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Ilieş, G.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(2021), </w:t>
      </w:r>
      <w:r>
        <w:rPr>
          <w:rFonts w:ascii="Times New Roman" w:hAnsi="Times New Roman" w:cs="Times New Roman"/>
          <w:i/>
          <w:sz w:val="24"/>
          <w:szCs w:val="24"/>
        </w:rPr>
        <w:t>Christmas markets in city centers: how do they impact local residents and businesses?</w:t>
      </w:r>
      <w:r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International Journal of Tourism Cities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Vol. 7, Issue 2 pag. 392-409, Special Issue, </w:t>
      </w:r>
      <w:hyperlink r:id="rId16" w:tooltip="DOI: https://doi.org/10.1108/IJTC-03-2020-0040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https://doi.org/10.1108/IJTC-03-2020-0040</w:t>
        </w:r>
      </w:hyperlink>
      <w:r>
        <w:rPr>
          <w:rStyle w:val="Hyperlink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Matei Elena, Vijulie Iuliana, Manea Gabriela, Tîrlă Laura, Dezsi Șt. (2014),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Changes in the Romanian Carpathian tourism after the communism collapse and the domestic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tourists' satisfaction,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Acta Geographica Slovenica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54-2, 2014, DOI: </w:t>
      </w:r>
      <w:hyperlink r:id="rId17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http://dx.doi.org/10.3986/AGS54207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UDC: 911.3:338.48(498); COBISS: 1.01; pp. 335–344; </w:t>
      </w:r>
      <w:hyperlink r:id="rId18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http://ojs.zrc-sazu.si/ags/article/view/1917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Dezsi, Şt. Benedek, J., (2011), </w:t>
      </w:r>
      <w:r>
        <w:rPr>
          <w:rFonts w:ascii="Times New Roman" w:hAnsi="Times New Roman" w:cs="Times New Roman"/>
          <w:bCs/>
          <w:i/>
          <w:sz w:val="24"/>
          <w:szCs w:val="24"/>
        </w:rPr>
        <w:t>The Role of Rural Tourism in the Socio-Economic Diversification of Rural Space from Lăpuşului Land (Ţara Lăpuşului, Maramureş County, Romania)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INTERNATIONAL JOURNAL OF SYSTEMS APPLICATIONS, ENGINEERING &amp; DEVELOPMENT, Issue 2, Volume 5, 2011, pp. 198-207, </w:t>
      </w:r>
      <w:hyperlink r:id="rId1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http://www.universitypress.org.uk/journals/saed/19-751.pdf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u-ES"/>
        </w:rPr>
        <w:t>Dezsi, Şt. (2011).</w:t>
      </w:r>
    </w:p>
    <w:p>
      <w:pPr>
        <w:tabs>
          <w:tab w:val="left" w:pos="270"/>
        </w:tabs>
        <w:jc w:val="both"/>
        <w:rPr>
          <w:bCs/>
        </w:rPr>
      </w:pPr>
    </w:p>
    <w:p>
      <w:pPr>
        <w:tabs>
          <w:tab w:val="left" w:pos="270"/>
        </w:tabs>
        <w:jc w:val="both"/>
        <w:rPr>
          <w:b/>
        </w:rPr>
      </w:pPr>
      <w:r>
        <w:rPr>
          <w:bCs/>
        </w:rPr>
        <w:t>Contact adress: stefan.dezsi@ubbcluj.ro</w:t>
      </w:r>
    </w:p>
    <w:p>
      <w:pPr>
        <w:tabs>
          <w:tab w:val="left" w:pos="270"/>
        </w:tabs>
      </w:pPr>
    </w:p>
    <w:p>
      <w:pPr>
        <w:jc w:val="both"/>
        <w:rPr>
          <w:b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473"/>
    <w:multiLevelType w:val="hybridMultilevel"/>
    <w:tmpl w:val="F504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251B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0902"/>
    <w:multiLevelType w:val="hybridMultilevel"/>
    <w:tmpl w:val="BBBA507E"/>
    <w:lvl w:ilvl="0" w:tplc="887A4784">
      <w:start w:val="1"/>
      <w:numFmt w:val="decimal"/>
      <w:lvlText w:val="%1."/>
      <w:lvlJc w:val="left"/>
      <w:pPr>
        <w:ind w:left="749" w:hanging="46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D77513"/>
    <w:multiLevelType w:val="hybridMultilevel"/>
    <w:tmpl w:val="FE4443EC"/>
    <w:lvl w:ilvl="0" w:tplc="3D58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93/JSSP.2020.2.07" TargetMode="External"/><Relationship Id="rId13" Type="http://schemas.openxmlformats.org/officeDocument/2006/relationships/hyperlink" Target="https://www.emerald.com/insight/search?q=Marin%20Ilie%C5%9F" TargetMode="External"/><Relationship Id="rId18" Type="http://schemas.openxmlformats.org/officeDocument/2006/relationships/hyperlink" Target="http://ojs.zrc-sazu.si/ags/article/view/19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researchgate.net/publication/281993267_The_GIS_assessment_of_a_winter_sports_resort_location_Case_study_Beliscomma_below_District_Western_Carpathians" TargetMode="External"/><Relationship Id="rId12" Type="http://schemas.openxmlformats.org/officeDocument/2006/relationships/hyperlink" Target="https://www.emerald.com/insight/search?q=Stefan%20Dezsi" TargetMode="External"/><Relationship Id="rId17" Type="http://schemas.openxmlformats.org/officeDocument/2006/relationships/hyperlink" Target="http://dx.doi.org/10.3986/AGS5420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i.org/10.1108/IJTC-03-2020-004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erald.com/insight/search?q=Bianca%20Sorina%20R%C4%83c%C4%83%C5%9Fa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merald.com/insight/publication/issn/2056-560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merald.com/insight/search?q=Istv%C3%A1n%20O.%20Egresi" TargetMode="External"/><Relationship Id="rId19" Type="http://schemas.openxmlformats.org/officeDocument/2006/relationships/hyperlink" Target="http://www.universitypress.org.uk/journals/saed/19-7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3168802" TargetMode="External"/><Relationship Id="rId14" Type="http://schemas.openxmlformats.org/officeDocument/2006/relationships/hyperlink" Target="https://www.emerald.com/insight/search?q=Gabriela%20Ilie%C5%9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24</cp:revision>
  <dcterms:created xsi:type="dcterms:W3CDTF">2021-10-05T07:34:00Z</dcterms:created>
  <dcterms:modified xsi:type="dcterms:W3CDTF">2021-10-13T11:19:00Z</dcterms:modified>
</cp:coreProperties>
</file>